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92" w:rsidRDefault="001D7781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772400" cy="10687050"/>
            <wp:effectExtent l="0" t="0" r="0" b="0"/>
            <wp:docPr id="1" name="Рисунок 1" descr="C:\Users\Учитель\AppData\Local\Microsoft\Windows\Temporary Internet Files\Content.Word\ТЛ ВД Финансовая грамот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ТЛ ВД Финансовая грамотнос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F3816">
        <w:rPr>
          <w:rFonts w:ascii="Times New Roman" w:hAnsi="Times New Roman"/>
          <w:lang w:eastAsia="ru-RU"/>
        </w:rPr>
        <w:t xml:space="preserve">Личностные, </w:t>
      </w:r>
      <w:r w:rsidR="00BF3816">
        <w:rPr>
          <w:rFonts w:ascii="Times New Roman" w:hAnsi="Times New Roman"/>
          <w:lang w:eastAsia="ru-RU"/>
        </w:rPr>
        <w:lastRenderedPageBreak/>
        <w:t xml:space="preserve">предметные и </w:t>
      </w:r>
      <w:proofErr w:type="spellStart"/>
      <w:r w:rsidR="00BF3816">
        <w:rPr>
          <w:rFonts w:ascii="Times New Roman" w:hAnsi="Times New Roman"/>
          <w:lang w:eastAsia="ru-RU"/>
        </w:rPr>
        <w:t>метапредметные</w:t>
      </w:r>
      <w:proofErr w:type="spellEnd"/>
      <w:r w:rsidR="00BF3816">
        <w:rPr>
          <w:rFonts w:ascii="Times New Roman" w:hAnsi="Times New Roman"/>
          <w:lang w:eastAsia="ru-RU"/>
        </w:rPr>
        <w:t xml:space="preserve"> результаты освоения курса «Основы финансовой грамотности»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Структура и содержание курса 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Итогом и основным результатом обучения станет индивидуальный проект «Личный финансовый план», при публичной презентации которого выпускники программы покажут степень готовности принимать решения в области управления личными финансами, основанные на анализе собственных целей и возможностей, текущей и прогнозируемой экономической ситуации, доступных финансовых инструментов.</w:t>
      </w:r>
      <w:proofErr w:type="gramEnd"/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 xml:space="preserve">При выполнении и презентации «Личного финансового плана» учащиеся должны продемонстрировать общие проектные умения: планировать и осуществлять проектную деятельность;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использовать доступные ресурсы </w:t>
      </w:r>
      <w:proofErr w:type="gramStart"/>
      <w:r>
        <w:rPr>
          <w:rFonts w:ascii="Times New Roman" w:hAnsi="Times New Roman"/>
          <w:lang w:eastAsia="ru-RU"/>
        </w:rPr>
        <w:t>для</w:t>
      </w:r>
      <w:proofErr w:type="gramEnd"/>
      <w:r>
        <w:rPr>
          <w:rFonts w:ascii="Times New Roman" w:hAnsi="Times New Roman"/>
          <w:lang w:eastAsia="ru-RU"/>
        </w:rPr>
        <w:t xml:space="preserve"> достижения целей; применять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 </w:t>
      </w:r>
      <w:proofErr w:type="gramStart"/>
      <w:r>
        <w:rPr>
          <w:rFonts w:ascii="Times New Roman" w:hAnsi="Times New Roman"/>
          <w:lang w:eastAsia="ru-RU"/>
        </w:rPr>
        <w:t>индивидуального проекта</w:t>
      </w:r>
      <w:proofErr w:type="gramEnd"/>
      <w:r>
        <w:rPr>
          <w:rFonts w:ascii="Times New Roman" w:hAnsi="Times New Roman"/>
          <w:lang w:eastAsia="ru-RU"/>
        </w:rPr>
        <w:t>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Планируемые результаты обучения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Предметные результаты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Метапредметные</w:t>
      </w:r>
      <w:proofErr w:type="spellEnd"/>
      <w:r>
        <w:rPr>
          <w:rFonts w:ascii="Times New Roman" w:hAnsi="Times New Roman"/>
          <w:lang w:eastAsia="ru-RU"/>
        </w:rPr>
        <w:t> результаты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Личностными результатами изучения курса следует считать воспитание мотивации к труду, стремления строить свое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Таким образом,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Содержание курса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«Основы финансовой грамотности»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 xml:space="preserve">Освоение содержания курса «Финансовая грамотность» осуществляется с опорой на </w:t>
      </w:r>
      <w:proofErr w:type="spellStart"/>
      <w:r>
        <w:rPr>
          <w:rFonts w:ascii="Times New Roman" w:hAnsi="Times New Roman"/>
          <w:lang w:eastAsia="ru-RU"/>
        </w:rPr>
        <w:t>межпредметные</w:t>
      </w:r>
      <w:proofErr w:type="spellEnd"/>
      <w:r>
        <w:rPr>
          <w:rFonts w:ascii="Times New Roman" w:hAnsi="Times New Roman"/>
          <w:lang w:eastAsia="ru-RU"/>
        </w:rPr>
        <w:t xml:space="preserve"> связи с курсами базового уровня обществознания, истории, технологии, математики, предметами регионального компонента.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Календарно-тематическое планирование</w:t>
      </w:r>
    </w:p>
    <w:tbl>
      <w:tblPr>
        <w:tblW w:w="15229" w:type="dxa"/>
        <w:tblInd w:w="-5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2255"/>
        <w:gridCol w:w="726"/>
        <w:gridCol w:w="1990"/>
        <w:gridCol w:w="2375"/>
        <w:gridCol w:w="2404"/>
        <w:gridCol w:w="1071"/>
        <w:gridCol w:w="1049"/>
        <w:gridCol w:w="14"/>
        <w:gridCol w:w="1109"/>
        <w:gridCol w:w="15"/>
        <w:gridCol w:w="11"/>
        <w:gridCol w:w="26"/>
        <w:gridCol w:w="11"/>
        <w:gridCol w:w="14"/>
        <w:gridCol w:w="1435"/>
        <w:gridCol w:w="221"/>
      </w:tblGrid>
      <w:tr w:rsidR="00786192">
        <w:trPr>
          <w:trHeight w:val="450"/>
        </w:trPr>
        <w:tc>
          <w:tcPr>
            <w:tcW w:w="4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занятия</w:t>
            </w:r>
          </w:p>
        </w:tc>
        <w:tc>
          <w:tcPr>
            <w:tcW w:w="6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15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урока</w:t>
            </w:r>
          </w:p>
        </w:tc>
        <w:tc>
          <w:tcPr>
            <w:tcW w:w="180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Краткое содержание</w:t>
            </w:r>
          </w:p>
        </w:tc>
        <w:tc>
          <w:tcPr>
            <w:tcW w:w="252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Планируемые результаты</w:t>
            </w:r>
          </w:p>
        </w:tc>
        <w:tc>
          <w:tcPr>
            <w:tcW w:w="5824" w:type="dxa"/>
            <w:gridSpan w:val="10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rPr>
          <w:trHeight w:val="255"/>
        </w:trPr>
        <w:tc>
          <w:tcPr>
            <w:tcW w:w="4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BF3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6а,  6в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BF3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1470" w:type="dxa"/>
            <w:gridSpan w:val="7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BF3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8б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9в</w:t>
            </w: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 I. Банковские продукты 8 часов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понятия кредитования. Виды кредитов.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Открытие новых знаний.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кредитов.</w:t>
            </w:r>
          </w:p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Ипотечное кредитование. Принципы кредитования.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Различать виды кредитования.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gridSpan w:val="7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кредитов.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Мини-проект.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Необходимые документы при </w:t>
            </w:r>
            <w:r>
              <w:rPr>
                <w:rFonts w:ascii="Times New Roman" w:hAnsi="Times New Roman"/>
                <w:lang w:eastAsia="ru-RU"/>
              </w:rPr>
              <w:lastRenderedPageBreak/>
              <w:t>оформлении кредита.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Мини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роект «В каком банке выгоднее </w:t>
            </w:r>
            <w:r>
              <w:rPr>
                <w:rFonts w:ascii="Times New Roman" w:hAnsi="Times New Roman"/>
                <w:lang w:eastAsia="ru-RU"/>
              </w:rPr>
              <w:lastRenderedPageBreak/>
              <w:t>взять кредит?»</w:t>
            </w:r>
          </w:p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Научиться анализировать и сравнивать условия по кредиту в различных банках.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gridSpan w:val="7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такое кредитная история заемщика?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Комбиниро</w:t>
            </w:r>
            <w:proofErr w:type="spellEnd"/>
            <w:r>
              <w:rPr>
                <w:rFonts w:ascii="Times New Roman" w:hAnsi="Times New Roman"/>
                <w:lang w:eastAsia="ru-RU"/>
              </w:rPr>
              <w:t>-ванный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урок.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закон «О кредитных историях». Кредитное бюро, кредитная история.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осознанной необходимости соблюдения платежной дисциплины во избежание личного банкротства, поиска легитимных способов решения возможных проблем совместно с банком.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gridSpan w:val="7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Расчеты размеров выплат по различным видам кредитов.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платежей по кредитам.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 рассчитывать размеры выплат по различным видам кредитов.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gridSpan w:val="7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депозитов.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Открытие новых знаний.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Банковские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позиты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: виды, особенности и доходность. Маржа.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Приводить примеры виды банковских депозитов.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депозитов.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«Проценты».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Способы начисления процентов по депозитам.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Вычислять простые и сложные проценты по депозиту.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банка. Открытие депозита.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Критерии надежности банка. Условия открытия вклада.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познава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-тельных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практи-ческих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задач,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отра-жающих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типичные экономические ситуации.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 в банк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о банке и банковских продуктах.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Составить рекламные буклеты о банковских продуктах.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 II. Расчетно-кассовые операции 2 часа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Валютный курс.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Конвертируемость национальной валюты. Национальная валюта. Валютные курсы.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познавательных и практических задач, отражающих типичные экономические ситуации.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Банковские карты.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«Банковская система».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банковской карты. Виды банковских карт (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дебетовая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lastRenderedPageBreak/>
              <w:t>кредитная).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Применение пластиковых карт в расчетах и платежах, различие между </w:t>
            </w:r>
            <w:r>
              <w:rPr>
                <w:rFonts w:ascii="Times New Roman" w:hAnsi="Times New Roman"/>
                <w:lang w:eastAsia="ru-RU"/>
              </w:rPr>
              <w:lastRenderedPageBreak/>
              <w:t>дебетовыми и кредитными картами.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Глава IV. Инвестиции 8 часов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правила инвестирования: как покупать и продавать ценные бумаги.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«Инвестируем в акции».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Инструменты личного финансирования на финансовых рынках и их особенности.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информации о способах инвестирования денежных средств, предоставляемой различными информационными источниками и структурами финансового рынка.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Денежный рынок и рынок капиталов.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обсуждение.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Рынок. Функции рынка. Рынок капитала.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Инвес-тирование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Фон-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довый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рынок.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и анализ схемы «Структура рынка капитала».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Рынок ценных бумаг.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Ценные бумаги. Виды ценных бумаг. Операции на рынке ценных бумаг.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Расчет доходности методом простых и сложных процентов.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Паевые инвестиционные </w:t>
            </w:r>
            <w:r>
              <w:rPr>
                <w:rFonts w:ascii="Times New Roman" w:hAnsi="Times New Roman"/>
                <w:lang w:eastAsia="ru-RU"/>
              </w:rPr>
              <w:lastRenderedPageBreak/>
              <w:t>фонды: структура, виды, особенности работы.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Деловая игра «Выбираем </w:t>
            </w:r>
            <w:r>
              <w:rPr>
                <w:rFonts w:ascii="Times New Roman" w:hAnsi="Times New Roman"/>
                <w:lang w:eastAsia="ru-RU"/>
              </w:rPr>
              <w:lastRenderedPageBreak/>
              <w:t>ПИФ».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ПИФ. Виды и типы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особенности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их работы. Правила безопасности при обращении 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ПИФами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Расчет стоимости паев инвестиционных </w:t>
            </w:r>
            <w:r>
              <w:rPr>
                <w:rFonts w:ascii="Times New Roman" w:hAnsi="Times New Roman"/>
                <w:lang w:eastAsia="ru-RU"/>
              </w:rPr>
              <w:lastRenderedPageBreak/>
              <w:t>фондов.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Управляющие компании и негосударственные пенсионные фонды.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фонды России. Пенсионная система России. Способы увеличения пенсии.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различных способов размещения средств потребителя и их преимущества и недостатки.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управляющей компании или негосударственного пенсионного фонда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Критерии выбора управляющей компании и негосударственного пенсионного фонда.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различных финансовых продуктов по уровню доходности, ликвидности и риска.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Банки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VS</w:t>
            </w:r>
            <w:proofErr w:type="gramEnd"/>
            <w:r>
              <w:rPr>
                <w:rFonts w:ascii="Times New Roman" w:hAnsi="Times New Roman"/>
                <w:lang w:eastAsia="ru-RU"/>
              </w:rPr>
              <w:t>ПИФы</w:t>
            </w:r>
            <w:proofErr w:type="spellEnd"/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Инвестиционный пай.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Принципы работы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Покупка паев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Анализ динамики изменения стоимости паев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ПИФов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реальных условиях рынка.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 в пенсионный фонд.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Отчетность в ПФР. Оформление и выплата пенсий.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Начисление страховых взносов на обязательное пенсионное страхование за 6 месяцев </w:t>
            </w:r>
            <w:r>
              <w:rPr>
                <w:rFonts w:ascii="Times New Roman" w:hAnsi="Times New Roman"/>
                <w:lang w:eastAsia="ru-RU"/>
              </w:rPr>
              <w:lastRenderedPageBreak/>
              <w:t>застрахованному лицу.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Раздел  V. Страхование 5 часов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страхования в России.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«Страхование».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Понятие страхования. Страхователь. Страховка. Страховщик. Договор страхования. Ведущие страховые компании в России.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Оценка роли обязательного и добровольного страхования в жизни человека.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 имущества.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обсуждение.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 имущества граждан.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договора страхования, ответственность страховщика и страхователя.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Личное страхование.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Комбинированный урок.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Особенности личного страхования.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Алгоритм поведения страхователя в условиях наступления страхового случая.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Страховые продукты.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дискуссия.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страховых продуктов.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таблицы «Страховые продукты с учетом интересов страхователя».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 страховой компании.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о страховой компании и предоставляемых страховых программах.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Расчет страхового взноса в зависимости от размера страховой суммы, тарифа, срока страхования и других факторов.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 VI. Основы налогообложения 6 часов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Налоговый кодекс РФ.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Открытие новых знаний.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 налогового законодательства РФ. Структура налоговой системы РФ.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базовых знаний о налоговой системе РФ как инструменте государственной экономической политики.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налогов в РФ.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«Налоги».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Классификация налогов РФ. Принципы налогообложения.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схемы «Налоги их виды».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Налоговые льготы в РФ.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Назначение налоговых льгот. Порядок и основания предоставления налоговых льгот.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Вычисление величины выплат по индивидуальному подоходному налогу.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Обязанность и ответственность налогоплательщиков.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Открытие новых знаний.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Права и обязанности налогоплательщика, налоговых органов.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Осознание ответственности налогоплательщика и важности соблюдения налоговой дисциплины.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Налоговый инспектор.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Функции налогов. Налоговый вычет. Местные налоги.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Расчет налогового вычета по НДФЛ. Расчет НДС.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 в налоговую инспекцию.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о налоговой инспекции. Отдел учета и работы с налогоплательщиками.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Заполнение основных разделов налоговой декларации.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15002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 VII . Личное финансовое планирование 6 часов</w:t>
            </w: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Роль денег в нашей жизни.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Деловая игра «Деньги любят счет».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Деньги. Финансовое планирование. Номинальные и реальные доходы.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Формулирование финансовых целей, предварительная оценка их достижимости.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Семейный бюджет.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Ролевая игра «Семейная экономика».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Структура семейного бюджета. Источники семейного дохода.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семейного бюджета.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Личный бюджет.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Практикум.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Личный бюджет. Дефицит. Профицит. Баланс.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текущего и перспективного личного финансового бюджета.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Личные финансовые цели.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дискуссия.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Личные финансовые цели, предварительная оценка их достижимости.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Разработка стратегии сокращения расходной части личного бюджета и увеличения его доходной части (на конкретных примерах).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1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86192"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личного финансового плана.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проект.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Личный финансовый план (ЛФП). Этапы построения ЛФП.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Личный финансовый план.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6" w:type="dxa"/>
            <w:gridSpan w:val="5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  <w:tr w:rsidR="00786192">
        <w:trPr>
          <w:trHeight w:val="690"/>
        </w:trPr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26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Защита своего личного финансового</w:t>
            </w:r>
          </w:p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плана.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 – конференция.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Представление личного финансового плана.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1" w:type="dxa"/>
            </w:tcMar>
          </w:tcPr>
          <w:p w:rsidR="00786192" w:rsidRDefault="00BF3816">
            <w:pP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«Личный финансовый план».</w:t>
            </w:r>
          </w:p>
        </w:tc>
        <w:tc>
          <w:tcPr>
            <w:tcW w:w="128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6" w:type="dxa"/>
            <w:gridSpan w:val="5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  <w:p w:rsidR="00786192" w:rsidRDefault="0078619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89" w:type="dxa"/>
              <w:bottom w:w="105" w:type="dxa"/>
              <w:right w:w="105" w:type="dxa"/>
            </w:tcMar>
          </w:tcPr>
          <w:p w:rsidR="00786192" w:rsidRDefault="00786192">
            <w:pPr>
              <w:rPr>
                <w:rFonts w:ascii="Times New Roman" w:hAnsi="Times New Roman"/>
              </w:rPr>
            </w:pPr>
          </w:p>
        </w:tc>
      </w:tr>
    </w:tbl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786192">
      <w:pPr>
        <w:shd w:val="clear" w:color="auto" w:fill="FFFFFF"/>
        <w:rPr>
          <w:rFonts w:ascii="Times New Roman" w:hAnsi="Times New Roman"/>
          <w:lang w:eastAsia="ru-RU"/>
        </w:rPr>
      </w:pP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Учебно-методическое обеспечение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1. А.П. Архипов, Азбука страхования: Для 10-11 классов общеобразовательных учреждений М.: Вита-Пресс, 2010 г.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 xml:space="preserve">2. Ю.В. Брехова, Д. Ю. Завьялов, А. П. </w:t>
      </w:r>
      <w:proofErr w:type="spellStart"/>
      <w:r>
        <w:rPr>
          <w:rFonts w:ascii="Times New Roman" w:hAnsi="Times New Roman"/>
          <w:lang w:eastAsia="ru-RU"/>
        </w:rPr>
        <w:t>Алмосов</w:t>
      </w:r>
      <w:proofErr w:type="spellEnd"/>
      <w:r>
        <w:rPr>
          <w:rFonts w:ascii="Times New Roman" w:hAnsi="Times New Roman"/>
          <w:lang w:eastAsia="ru-RU"/>
        </w:rPr>
        <w:t>, Финансовая грамотность. 10-11 классы. Учебная программа М.: Вита-Пресс, 2016 г.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3. Н.И. </w:t>
      </w:r>
      <w:proofErr w:type="spellStart"/>
      <w:r>
        <w:rPr>
          <w:rFonts w:ascii="Times New Roman" w:hAnsi="Times New Roman"/>
          <w:lang w:eastAsia="ru-RU"/>
        </w:rPr>
        <w:t>Берзон</w:t>
      </w:r>
      <w:proofErr w:type="spellEnd"/>
      <w:r>
        <w:rPr>
          <w:rFonts w:ascii="Times New Roman" w:hAnsi="Times New Roman"/>
          <w:lang w:eastAsia="ru-RU"/>
        </w:rPr>
        <w:t>, Основы финансовой экономики. Учебное пособие. 10-11классы М.: Вита-Пресс, 2011 г.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4. А. Горяев, В. Чумаченко Финансовая грамота М.: Юнайтед Пресс, 2012 г.</w:t>
      </w:r>
    </w:p>
    <w:p w:rsidR="00786192" w:rsidRDefault="00BF3816">
      <w:pPr>
        <w:shd w:val="clear" w:color="auto" w:fill="FFFFFF"/>
        <w:rPr>
          <w:rFonts w:ascii="Times New Roman" w:eastAsia="Times New Roman" w:hAnsi="Times New Roman" w:cs="Times New Roman"/>
          <w:color w:val="767676"/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 xml:space="preserve">5. </w:t>
      </w:r>
      <w:proofErr w:type="gramStart"/>
      <w:r>
        <w:rPr>
          <w:rFonts w:ascii="Times New Roman" w:hAnsi="Times New Roman"/>
          <w:lang w:eastAsia="ru-RU"/>
        </w:rPr>
        <w:t>Н. Розанова Банк: от клиента до президента:</w:t>
      </w:r>
      <w:proofErr w:type="gramEnd"/>
      <w:r>
        <w:rPr>
          <w:rFonts w:ascii="Times New Roman" w:hAnsi="Times New Roman"/>
          <w:lang w:eastAsia="ru-RU"/>
        </w:rPr>
        <w:t xml:space="preserve"> Учебное пособие по элективному курсу для 8-9 классов М.: Вита-Пресс, 2008 г</w:t>
      </w:r>
    </w:p>
    <w:p w:rsidR="00786192" w:rsidRDefault="00786192">
      <w:pPr>
        <w:rPr>
          <w:rFonts w:ascii="Times New Roman" w:hAnsi="Times New Roman"/>
          <w:lang w:eastAsia="ru-RU"/>
        </w:rPr>
      </w:pPr>
    </w:p>
    <w:p w:rsidR="00786192" w:rsidRDefault="00786192"/>
    <w:sectPr w:rsidR="0078619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92"/>
    <w:rsid w:val="001D7781"/>
    <w:rsid w:val="00786192"/>
    <w:rsid w:val="00B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5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80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601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F28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5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80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601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F28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B14F-1E30-4A92-BE54-869CE754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Учитель</cp:lastModifiedBy>
  <cp:revision>2</cp:revision>
  <cp:lastPrinted>2018-09-11T10:48:00Z</cp:lastPrinted>
  <dcterms:created xsi:type="dcterms:W3CDTF">2019-01-13T09:25:00Z</dcterms:created>
  <dcterms:modified xsi:type="dcterms:W3CDTF">2019-01-13T09:25:00Z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